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82" w:rsidRPr="00894482" w:rsidRDefault="00894482" w:rsidP="00894482">
      <w:pPr>
        <w:spacing w:before="150" w:after="0" w:line="240" w:lineRule="auto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szCs w:val="3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szCs w:val="33"/>
          <w:lang w:eastAsia="ru-RU"/>
        </w:rPr>
        <w:t>Жилой Комплекс "Паруса"</w:t>
      </w:r>
      <w:r w:rsidRPr="00894482"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lang w:eastAsia="ru-RU"/>
        </w:rPr>
        <w:t> </w:t>
      </w:r>
      <w:r w:rsidRPr="00894482"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szCs w:val="33"/>
          <w:lang w:eastAsia="ru-RU"/>
        </w:rPr>
        <w:br/>
        <w:t>Проектная декларация</w:t>
      </w:r>
    </w:p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Общества с ограниченной ответственностью «СМУ Север 7» по строительству объекта капитального строительства: Многоквартирного жилого комплекса (по генплану) «Паруса» в гп. Икша Дмитровского района Московской области.</w:t>
      </w:r>
    </w:p>
    <w:p w:rsidR="00894482" w:rsidRPr="00894482" w:rsidRDefault="00894482" w:rsidP="00894482">
      <w:pPr>
        <w:spacing w:before="180" w:after="180" w:line="240" w:lineRule="auto"/>
        <w:rPr>
          <w:rFonts w:ascii="Arial" w:eastAsia="Times New Roman" w:hAnsi="Arial" w:cs="Arial"/>
          <w:color w:val="0F0F0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F0F0F"/>
          <w:sz w:val="20"/>
          <w:szCs w:val="20"/>
          <w:lang w:eastAsia="ru-RU"/>
        </w:rPr>
        <w:drawing>
          <wp:inline distT="0" distB="0" distL="0" distR="0">
            <wp:extent cx="5953125" cy="1543050"/>
            <wp:effectExtent l="19050" t="0" r="9525" b="0"/>
            <wp:docPr id="1" name="Рисунок 1" descr="http://smusever7.ru/images/parusa/parus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usever7.ru/images/parusa/parusa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82" w:rsidRPr="00894482" w:rsidRDefault="00894482" w:rsidP="00894482">
      <w:pPr>
        <w:spacing w:before="15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4F7396"/>
          <w:sz w:val="33"/>
          <w:szCs w:val="3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4F7396"/>
          <w:sz w:val="33"/>
          <w:szCs w:val="33"/>
          <w:lang w:eastAsia="ru-RU"/>
        </w:rPr>
        <w:t>1. Информация о застройщике</w:t>
      </w:r>
    </w:p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1.1. Наименование: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Общество с ограниченной ответственностью «Строительно монтажное управление Север 7» (полное), ООО «СМУ Север 7» (сокращенное).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1.2. Местонахождение общества: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гп Икша, ул. Школьная 4Б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1.3. Режим работы общества: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понедельник-пятница – с 9:00 до 18:00, выходные дни– суббота, воскресенье.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1.4. Сведения о государственной регистрации общества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Дата регистрации - 24.11.2006 г.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Орган, осуществивший государственную регистрацию: Межрайонная инспекция Федеральной налоговой службы №46 по г. Москва.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Основной государственный регистрационный номер (ОГРН) 1067760089682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ИНН 7722594973, КПП 772201001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1.5. Сведения об участниках застройщика: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ООО «АРЕТЕ-ЛЭНД» - заказчик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ООО «СМУ Север7» - инвестор, генеральный подрядчик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1.6.Сведения о проектах строительства многоквартирных домов и иных объектов недвижимости, в которых принимал участие застройщик в течение предшествующих лет: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1996 - 1998 гг.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- строительство и сдача в эксплуатацию офисного комплекса ЗАО "Итера" (ОАО Газпром) - 17 000 м2.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1998 - 2003 гг.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- получение согласований, строительство и ввод в эксплуатацию жилого комплекса, район Ново-Переделкино, ЗАО - 31 000 м2.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2003 - 2010 гг.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- проектирование, согласование, продажа, ввод в эксплуатацию 7 коттеджных поселков от 20 до 170 коттеджей в Московской области. Площадью около 50 000 м2.</w:t>
      </w:r>
    </w:p>
    <w:p w:rsidR="00894482" w:rsidRPr="00894482" w:rsidRDefault="00894482" w:rsidP="0089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2">
        <w:rPr>
          <w:rFonts w:ascii="Arial" w:eastAsia="Times New Roman" w:hAnsi="Arial" w:cs="Arial"/>
          <w:color w:val="0F0F0F"/>
          <w:sz w:val="20"/>
          <w:szCs w:val="20"/>
          <w:lang w:eastAsia="ru-RU"/>
        </w:rPr>
        <w:lastRenderedPageBreak/>
        <w:br/>
      </w:r>
    </w:p>
    <w:p w:rsidR="00894482" w:rsidRPr="00894482" w:rsidRDefault="00894482" w:rsidP="00894482">
      <w:pPr>
        <w:spacing w:before="15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4F7396"/>
          <w:sz w:val="33"/>
          <w:szCs w:val="3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4F7396"/>
          <w:sz w:val="33"/>
          <w:szCs w:val="33"/>
          <w:lang w:eastAsia="ru-RU"/>
        </w:rPr>
        <w:t>2. Информация о проекте строительства:</w:t>
      </w:r>
    </w:p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2.1. Цель проекта строительства: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Строительство многоквартирного жилого комплекса «Паруса» (по генплану) со встроенными коммерческими помещениями в гп. Икша Дмитровского района Московской области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2.2. Сроки и этапы реализации проекта: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начало строительства – IV квартал 2013 года, окончание строительства и ввод в эксплуатацию – IV квартал 2014 года.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2.3. Сведения о правах заказчика на земельный участок: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земельный участок с кадастровым номером 50:04:0040422:25, на котором будет возведен жилой комплекс «Паруса», принадлежит заказчику на праве собственности на основании, свидетельства о государственной регистрации права серия 50-АЕ № 004014, выдано Управлением Федеральной службы государственной регистрации, кадастра и картографии по Московской области «16» февраля 2013г.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2.4. Границы земельного участка: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участок расположен по адресу: Московская область Дмитровского района г.п Икша, ул. Школьная.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2.5. Площадь земельного участка: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6 844 кв.м.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2.6. Элементы благоустройства: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площадки для отдыха и игр детей и взрослых, проезды, тротуары, хозяйственные площадки, гостевые автостоянки, озеленение в соответствии с проектом.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2.7. Местоположение Жилого Комплекса: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ЖК «Паруса» расположен на земельном участке в Московской области Дмитровского района г.п Икша, ул. Школьная, 4А.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2.8. Описание Жилого Комплекса «Паруса»: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многоквартирный жилой комплекс переменной этажности с нежилыми помещениями, состоящий из двух корпусов. Первый этаж занимают коммерческие помещения.</w:t>
      </w:r>
    </w:p>
    <w:p w:rsidR="00894482" w:rsidRPr="00894482" w:rsidRDefault="00894482" w:rsidP="0089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2">
        <w:rPr>
          <w:rFonts w:ascii="Arial" w:eastAsia="Times New Roman" w:hAnsi="Arial" w:cs="Arial"/>
          <w:color w:val="0F0F0F"/>
          <w:sz w:val="20"/>
          <w:szCs w:val="20"/>
          <w:lang w:eastAsia="ru-RU"/>
        </w:rPr>
        <w:br/>
      </w:r>
    </w:p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Основные технико–экономические показатели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2775"/>
        <w:gridCol w:w="892"/>
      </w:tblGrid>
      <w:tr w:rsidR="00894482" w:rsidRPr="00894482" w:rsidTr="00894482">
        <w:tc>
          <w:tcPr>
            <w:tcW w:w="574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b/>
                <w:bCs/>
                <w:color w:val="0F0F0F"/>
                <w:sz w:val="20"/>
                <w:lang w:eastAsia="ru-RU"/>
              </w:rPr>
              <w:t>Показатель</w:t>
            </w:r>
          </w:p>
        </w:tc>
        <w:tc>
          <w:tcPr>
            <w:tcW w:w="277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b/>
                <w:bCs/>
                <w:color w:val="0F0F0F"/>
                <w:sz w:val="20"/>
                <w:lang w:eastAsia="ru-RU"/>
              </w:rPr>
              <w:t>Кол-во</w:t>
            </w:r>
          </w:p>
        </w:tc>
        <w:tc>
          <w:tcPr>
            <w:tcW w:w="7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b/>
                <w:bCs/>
                <w:color w:val="0F0F0F"/>
                <w:sz w:val="20"/>
                <w:lang w:eastAsia="ru-RU"/>
              </w:rPr>
              <w:t>Ед.изм.</w:t>
            </w:r>
          </w:p>
        </w:tc>
      </w:tr>
      <w:tr w:rsidR="00894482" w:rsidRPr="00894482" w:rsidTr="00894482">
        <w:tc>
          <w:tcPr>
            <w:tcW w:w="574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Количество типов секций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Общая площадь застройки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11 484,2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м2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Количество жилых этажей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</w:p>
        </w:tc>
      </w:tr>
      <w:tr w:rsidR="00894482" w:rsidRPr="00894482" w:rsidTr="00894482">
        <w:tc>
          <w:tcPr>
            <w:tcW w:w="0" w:type="auto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Общее количество квартир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-Однокомнатных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-Двухкомнатных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-Трехкомнатных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Общая площадь квартир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7 759,0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м2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Общая площадь коммерческих помещений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701,8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м2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lastRenderedPageBreak/>
              <w:t>Площадь помещений общего пользования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м2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Общая площадь офисного здания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м2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Общее число жителей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Количество машино-мест требуемое</w:t>
            </w:r>
            <w:r w:rsidRPr="00894482">
              <w:rPr>
                <w:rFonts w:ascii="Arial" w:eastAsia="Times New Roman" w:hAnsi="Arial" w:cs="Arial"/>
                <w:color w:val="0F0F0F"/>
                <w:sz w:val="20"/>
                <w:lang w:eastAsia="ru-RU"/>
              </w:rPr>
              <w:t> </w:t>
            </w: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br/>
              <w:t>(300 маш. на 1000 жителей)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  <w:tr w:rsidR="00894482" w:rsidRPr="00894482" w:rsidTr="00894482"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Общее количество машиномест на проектируемой парковке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482" w:rsidRPr="00894482" w:rsidRDefault="00894482" w:rsidP="00894482">
            <w:pPr>
              <w:spacing w:after="0" w:line="240" w:lineRule="auto"/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</w:pPr>
            <w:r w:rsidRPr="00894482">
              <w:rPr>
                <w:rFonts w:ascii="Arial" w:eastAsia="Times New Roman" w:hAnsi="Arial" w:cs="Arial"/>
                <w:color w:val="0F0F0F"/>
                <w:sz w:val="20"/>
                <w:szCs w:val="20"/>
                <w:lang w:eastAsia="ru-RU"/>
              </w:rPr>
              <w:t>шт</w:t>
            </w:r>
          </w:p>
        </w:tc>
      </w:tr>
    </w:tbl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Проектная документация разработана ООО «АБСОЛЮТ ПРОЕКТ».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Высота этажа – 3,0 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Комплекс оборудован водопроводом, канализацией, водостоком, отоплением, горячим водоснабжением, электроснабжением, вентиляцией приточно-вытяжной с естественным побуждением, мусоропроводом, лифтами.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Отопление и горячее водоснабжение комплекса – от крышной газовой котельной.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Для входа в подъезд и для подъема на первый этаж предусмотрены пандусы.</w:t>
      </w:r>
    </w:p>
    <w:p w:rsidR="00894482" w:rsidRPr="00894482" w:rsidRDefault="00894482" w:rsidP="00894482">
      <w:pPr>
        <w:spacing w:before="180" w:after="180" w:line="240" w:lineRule="auto"/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</w:pP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2.9. Технические характеристики Жилого комплекса «Паруса»: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Основные конструктивные элементы: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Наружные стены в подвале из монолитного железобетона с утеплителем, Выше отм.+О,ООО - каркасная система, пенобетонные блоки с утеплителем.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Перекрытие - монолитное перекрытие;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Перемычки - монолитные ж/б.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Лестницы наружные - монолитные ж/б, Внутренняя – монолитная железобетонная.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Крыша жилых зданий - скатная, с Внутренним Водостоком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Крыша офисного здания - плоская, с Внутренним Водостоком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Перегородки - пенобетонные блоки (120мм).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Водоснабжение: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Источником холодного водоснабжения является центральные сети Водоснабжения.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Источником горячего водоснабжения являются газовые котельные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Система холодного водоснабжения - тупиковая.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Система горячего водоснабжения - кольцевая, с циркуляцией.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Требуемый напор - 2.0 атм, гарантийный напор в сети - 2.0 атм.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Трубопроводы хозяйственно-питьевого водопровода холодной и горячей воды монтируются из полипропиленовых труб.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Сеть водопровода в здании прокладывается открыто под потолком и по стенам здания, соответственно агрессивного воздействия грунтов и грунтовых вод не будет.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lastRenderedPageBreak/>
        <w:t>Вода хозяйственно-питьевого качества, соответствует СанПиН 2.1.4.1074-01.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Канализация: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Проектом предусмотрен сброс хозяйственно-бытовой канализаций в центральные сети канализации Бытовые стоки здания самотечной сетью отводятся в проектируемые канализационные стояки Ø110 ММ.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Внутренние канализационные сети хозяйственно-бытовой и канализации прокладываются их полипропиленовых труб ТУ 4926-005-41989945-97 «Трубы и патрубки из полипропилена для канализации» Ø50, 110 мм.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Сеть канализации прокладывается скрыто - в оштукатуренных коробах с устройством люков в местах установки ревизий и про чисток.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Минимальный уклон трубопроводов наземной прокладки принят - 0,02 в сторону выпуска.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Отопление и вентиляция: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Для проектирования приняты следующие климатические данные: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зимняя температура -28 С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средняя температура отопительного периода -3.5 С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Расчетные параметры воздуха внутри помещений в жилом доме приняты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для жилых комнат +22 С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для сан. узлов +25 С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В качестве источника систем отопления жилого дома приняты газовые котельные.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Система отопления дома запроектирована нагревательными приборами алюминиевыми секционными радиаторами.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Система отопления нагревательными приборами принята двухтрубная с попутным движением теплоносителя, горизонтальной поэтажной разводкой. Теплоноситель - вода с температурой 80/60 С.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Регулирование теплоотдачи отопительных приборов, осуществляется за счет установки терморегулирующих вентилей на каждом радиаторе.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Монтаж трубопроводов системы отопления нагревательными приборами выполнен с использованием металлопластиковых труб «Nanoрlast».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Монтаж металлополимерных труб производить только скрытой прокладкой.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- разводку труб отопления выполнить над полом, стояки и опуски - в шторбе стены.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>По окончании отопительного сезона систему отопления следует оставить наполненной водой во избежание коррозии отопительных приборов.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  <w:t xml:space="preserve">Вентиляция санузлов, душевых, ванн, кухни и помещении подвального этажа предусмотрена естественная посредствам вентиляционных шахт и через оконные 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lastRenderedPageBreak/>
        <w:t>проёмы.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2.13. Состав общего имущества в Жилого комплеса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, которое будет находиться в общей долевой собственности участников долевого строительства: внутренние инженерные коммуникации, помещения общего пользования, в том числе входные группы Дома, лестничные площадки, лестничные марши, подвал, чердак, помещения электрощитовых.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2.14. Предполагаемый срок получения разрешения на ввод в эксплуатацию комплекса: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IV квартал 2014 г. Уполномоченный орган, выдающий разрешение - администрация г. Дмитров.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2.15. Финансовые и прочие риски при осуществлении проекта строительства: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исключаются.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2.16. Планируемая стоимость строительства: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311 000 тыс руб. (триста одиннадцать миллионов рублей).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2.17. Перечень организаций, осуществляющих основные строительно-монтажные и другие работы: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ООО «СМУ Север 7.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br/>
      </w:r>
      <w:r w:rsidRPr="00894482">
        <w:rPr>
          <w:rFonts w:ascii="Trebuchet MS" w:eastAsia="Times New Roman" w:hAnsi="Trebuchet MS" w:cs="Times New Roman"/>
          <w:b/>
          <w:bCs/>
          <w:color w:val="0F0F0F"/>
          <w:sz w:val="23"/>
          <w:lang w:eastAsia="ru-RU"/>
        </w:rPr>
        <w:t>2.18. Способ обеспечения исполнения обязательств застройщика по договору участия в долевом строительстве:</w:t>
      </w:r>
      <w:r w:rsidRPr="00894482">
        <w:rPr>
          <w:rFonts w:ascii="Trebuchet MS" w:eastAsia="Times New Roman" w:hAnsi="Trebuchet MS" w:cs="Times New Roman"/>
          <w:color w:val="0F0F0F"/>
          <w:sz w:val="23"/>
          <w:lang w:eastAsia="ru-RU"/>
        </w:rPr>
        <w:t> </w:t>
      </w:r>
      <w:r w:rsidRPr="00894482">
        <w:rPr>
          <w:rFonts w:ascii="Trebuchet MS" w:eastAsia="Times New Roman" w:hAnsi="Trebuchet MS" w:cs="Times New Roman"/>
          <w:color w:val="0F0F0F"/>
          <w:sz w:val="23"/>
          <w:szCs w:val="23"/>
          <w:lang w:eastAsia="ru-RU"/>
        </w:rPr>
        <w:t>с момента государственной регистрации договора у участников долевого строительства (залогодержателей) считаются находящимися в залоге земельный участок, указанный в п.2.5. проектной декларации, и строящийся на этом земельном участке Жилой комплекс.</w:t>
      </w:r>
    </w:p>
    <w:p w:rsidR="00AE4259" w:rsidRDefault="00AE4259"/>
    <w:sectPr w:rsidR="00AE4259" w:rsidSect="00A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482"/>
    <w:rsid w:val="00894482"/>
    <w:rsid w:val="00A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9"/>
  </w:style>
  <w:style w:type="paragraph" w:styleId="1">
    <w:name w:val="heading 1"/>
    <w:basedOn w:val="a"/>
    <w:link w:val="10"/>
    <w:uiPriority w:val="9"/>
    <w:qFormat/>
    <w:rsid w:val="0089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4482"/>
  </w:style>
  <w:style w:type="paragraph" w:styleId="a3">
    <w:name w:val="Normal (Web)"/>
    <w:basedOn w:val="a"/>
    <w:uiPriority w:val="99"/>
    <w:semiHidden/>
    <w:unhideWhenUsed/>
    <w:rsid w:val="0089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4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2014-10-10T12:53:00Z</dcterms:created>
  <dcterms:modified xsi:type="dcterms:W3CDTF">2014-10-10T12:53:00Z</dcterms:modified>
</cp:coreProperties>
</file>